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C6B02">
      <w:pPr>
        <w:pStyle w:val="2"/>
        <w:ind w:left="838"/>
        <w:jc w:val="center"/>
        <w:rPr>
          <w:rFonts w:asciiTheme="majorEastAsia" w:hAnsiTheme="majorEastAsia" w:eastAsiaTheme="majorEastAsia" w:cstheme="majorEastAsia"/>
          <w:b w:val="0"/>
          <w:sz w:val="36"/>
          <w:szCs w:val="36"/>
          <w:lang w:val="en-US"/>
        </w:rPr>
      </w:pPr>
      <w:bookmarkStart w:id="0" w:name="_GoBack"/>
      <w:bookmarkEnd w:id="0"/>
      <w:r>
        <w:rPr>
          <w:rFonts w:asciiTheme="majorEastAsia" w:hAnsiTheme="majorEastAsia" w:eastAsiaTheme="majorEastAsia" w:cstheme="majorEastAsia"/>
          <w:sz w:val="36"/>
          <w:szCs w:val="36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ge">
                  <wp:posOffset>4933315</wp:posOffset>
                </wp:positionV>
                <wp:extent cx="5274945" cy="0"/>
                <wp:effectExtent l="9525" t="8890" r="11430" b="10160"/>
                <wp:wrapNone/>
                <wp:docPr id="1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49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FFD966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90pt;margin-top:388.45pt;height:0pt;width:415.35pt;mso-position-horizontal-relative:page;mso-position-vertical-relative:page;z-index:251659264;mso-width-relative:page;mso-height-relative:page;" filled="f" stroked="t" coordsize="21600,21600" o:gfxdata="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F8pSz1wAAAAwBAAAPAAAAAAAAAAEAIAAAACIAAABk&#10;cnMvZG93bnJldi54bWxQSwECFAAUAAAACACHTuJADZGZi84BAACgAwAADgAAAAAAAAABACAAAAAm&#10;AQAAZHJzL2Uyb0RvYy54bWxQSwUGAAAAAAYABgBZAQAAZgUAAAAA&#10;">
                <v:fill on="f" focussize="0,0"/>
                <v:stroke weight="0.48pt" color="#FFD966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/>
        </w:rPr>
        <w:t>新平台使用常见问题</w:t>
      </w:r>
    </w:p>
    <w:p w14:paraId="0725CED5">
      <w:pPr>
        <w:pStyle w:val="2"/>
        <w:spacing w:before="7"/>
        <w:rPr>
          <w:rFonts w:ascii="Times New Roman"/>
          <w:b w:val="0"/>
          <w:sz w:val="12"/>
        </w:rPr>
      </w:pPr>
    </w:p>
    <w:p w14:paraId="39403385">
      <w:pPr>
        <w:pStyle w:val="2"/>
        <w:rPr>
          <w:rFonts w:ascii="Times New Roman"/>
          <w:b w:val="0"/>
          <w:sz w:val="20"/>
        </w:rPr>
      </w:pPr>
    </w:p>
    <w:p w14:paraId="6251DF53">
      <w:pPr>
        <w:pStyle w:val="2"/>
        <w:spacing w:before="7"/>
        <w:rPr>
          <w:rFonts w:ascii="Times New Roman"/>
          <w:sz w:val="28"/>
          <w:lang w:val="en-US"/>
        </w:rPr>
      </w:pPr>
      <w:r>
        <w:rPr>
          <w:rFonts w:hint="eastAsia" w:ascii="Times New Roman"/>
          <w:sz w:val="28"/>
          <w:lang w:val="en-US"/>
        </w:rPr>
        <w:t>一、完善论文汇总信息表</w:t>
      </w:r>
    </w:p>
    <w:p w14:paraId="6916B26B">
      <w:pPr>
        <w:pStyle w:val="2"/>
        <w:spacing w:before="10" w:after="1"/>
        <w:rPr>
          <w:rFonts w:ascii="宋体"/>
          <w:b w:val="0"/>
          <w:sz w:val="13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0F2CF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613D77C9">
            <w:pPr>
              <w:pStyle w:val="10"/>
              <w:spacing w:before="91"/>
              <w:rPr>
                <w:b/>
                <w:sz w:val="21"/>
              </w:rPr>
            </w:pPr>
            <w:r>
              <w:rPr>
                <w:b/>
                <w:sz w:val="21"/>
              </w:rPr>
              <w:t>1 能否允许部分论文按一级学科送审？研究方向字数能否加长一些？</w:t>
            </w:r>
          </w:p>
        </w:tc>
      </w:tr>
      <w:tr w14:paraId="4CEBE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24662E24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35BC9037">
            <w:pPr>
              <w:pStyle w:val="10"/>
              <w:spacing w:line="284" w:lineRule="exact"/>
              <w:ind w:left="72"/>
              <w:jc w:val="both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为保证论文遴选的高效率及精准度，新平台论文送审原则上在一级学科下按照二级</w:t>
            </w:r>
            <w:r>
              <w:rPr>
                <w:b/>
                <w:spacing w:val="-7"/>
                <w:sz w:val="21"/>
              </w:rPr>
              <w:t xml:space="preserve">学科和研究方向遴选专家。研究方向字数不宜过长，因为送审论文需根据专家的研究方向进行匹配，库里专家的研究方向字数一般在 </w:t>
            </w:r>
            <w:r>
              <w:rPr>
                <w:b/>
                <w:sz w:val="21"/>
              </w:rPr>
              <w:t>5</w:t>
            </w:r>
            <w:r>
              <w:rPr>
                <w:b/>
                <w:spacing w:val="-4"/>
                <w:sz w:val="21"/>
              </w:rPr>
              <w:t xml:space="preserve"> 个字左右，所以研究方向不要</w:t>
            </w:r>
            <w:r>
              <w:rPr>
                <w:b/>
                <w:sz w:val="21"/>
              </w:rPr>
              <w:t>写的太细，尽量写的大而准。另</w:t>
            </w:r>
            <w:r>
              <w:rPr>
                <w:b/>
                <w:spacing w:val="-7"/>
                <w:sz w:val="21"/>
              </w:rPr>
              <w:t>外，研究方向最多可以写两个，</w:t>
            </w:r>
            <w:r>
              <w:rPr>
                <w:rFonts w:hint="eastAsia"/>
                <w:b/>
                <w:spacing w:val="-7"/>
                <w:sz w:val="21"/>
              </w:rPr>
              <w:t>一个研究方向最多为8个字符（8个汉字），共1</w:t>
            </w:r>
            <w:r>
              <w:rPr>
                <w:b/>
                <w:spacing w:val="-7"/>
                <w:sz w:val="21"/>
              </w:rPr>
              <w:t>7</w:t>
            </w:r>
            <w:r>
              <w:rPr>
                <w:rFonts w:hint="eastAsia"/>
                <w:b/>
                <w:spacing w:val="-7"/>
                <w:sz w:val="21"/>
              </w:rPr>
              <w:t>个字符，</w:t>
            </w:r>
            <w:r>
              <w:rPr>
                <w:b/>
                <w:spacing w:val="-7"/>
                <w:sz w:val="21"/>
              </w:rPr>
              <w:t>用</w:t>
            </w:r>
            <w:r>
              <w:rPr>
                <w:rFonts w:hint="eastAsia"/>
                <w:b/>
                <w:spacing w:val="-7"/>
                <w:sz w:val="21"/>
              </w:rPr>
              <w:t>中文分号</w:t>
            </w:r>
            <w:r>
              <w:rPr>
                <w:b/>
                <w:spacing w:val="-7"/>
                <w:sz w:val="21"/>
              </w:rPr>
              <w:t>隔开。</w:t>
            </w:r>
          </w:p>
        </w:tc>
      </w:tr>
    </w:tbl>
    <w:p w14:paraId="41E9EC9F">
      <w:pPr>
        <w:pStyle w:val="2"/>
        <w:spacing w:before="4"/>
        <w:rPr>
          <w:rFonts w:ascii="宋体"/>
          <w:b w:val="0"/>
          <w:sz w:val="24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1F969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30FC122D">
            <w:pPr>
              <w:pStyle w:val="10"/>
              <w:spacing w:before="91"/>
              <w:rPr>
                <w:b/>
                <w:sz w:val="21"/>
              </w:rPr>
            </w:pPr>
            <w:r>
              <w:rPr>
                <w:b/>
                <w:sz w:val="21"/>
              </w:rPr>
              <w:t>2 选填项不填或者删掉，是否会影响上传？</w:t>
            </w:r>
          </w:p>
        </w:tc>
      </w:tr>
      <w:tr w14:paraId="04A67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1B06E2E6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387257F6">
            <w:pPr>
              <w:pStyle w:val="10"/>
              <w:spacing w:line="282" w:lineRule="exact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选填项不能删掉，为方便个人观看，可以使用 excel 中隐藏功能对此不填项进行隐藏。如果没有信息则不用进行填写（也不要写无，空着即可），否则会影响上传。</w:t>
            </w:r>
          </w:p>
        </w:tc>
      </w:tr>
    </w:tbl>
    <w:p w14:paraId="3312B67C">
      <w:pPr>
        <w:pStyle w:val="2"/>
        <w:spacing w:before="4"/>
        <w:rPr>
          <w:rFonts w:ascii="宋体"/>
          <w:b w:val="0"/>
          <w:sz w:val="24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489A4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18CFE3E1">
            <w:pPr>
              <w:pStyle w:val="10"/>
              <w:spacing w:before="55"/>
              <w:rPr>
                <w:b/>
                <w:sz w:val="21"/>
              </w:rPr>
            </w:pPr>
            <w:r>
              <w:rPr>
                <w:b/>
                <w:sz w:val="21"/>
              </w:rPr>
              <w:t>3 汇总表选填项填写与否是否影响专家评阅？</w:t>
            </w:r>
          </w:p>
        </w:tc>
      </w:tr>
      <w:tr w14:paraId="16102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6076D296">
            <w:pPr>
              <w:pStyle w:val="10"/>
              <w:spacing w:before="93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42C45AE3">
            <w:pPr>
              <w:pStyle w:val="10"/>
              <w:spacing w:before="91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不会影响专家评审，部分信息只是用于统计汇总。</w:t>
            </w:r>
          </w:p>
        </w:tc>
      </w:tr>
    </w:tbl>
    <w:p w14:paraId="3BC16E0B">
      <w:pPr>
        <w:pStyle w:val="2"/>
        <w:spacing w:before="4"/>
        <w:rPr>
          <w:rFonts w:ascii="宋体"/>
          <w:b w:val="0"/>
          <w:sz w:val="24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447CA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16617C61">
            <w:pPr>
              <w:pStyle w:val="10"/>
              <w:spacing w:before="91"/>
              <w:rPr>
                <w:b/>
                <w:sz w:val="21"/>
              </w:rPr>
            </w:pPr>
            <w:r>
              <w:rPr>
                <w:b/>
                <w:sz w:val="21"/>
              </w:rPr>
              <w:t>4 新平台专家编号是否唯一，是否与评审关系编号相同？</w:t>
            </w:r>
          </w:p>
        </w:tc>
      </w:tr>
      <w:tr w14:paraId="2E42F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5895F496">
            <w:pPr>
              <w:pStyle w:val="10"/>
              <w:spacing w:line="33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057BC3D8">
            <w:pPr>
              <w:pStyle w:val="10"/>
              <w:spacing w:before="9" w:line="218" w:lineRule="auto"/>
              <w:ind w:left="72" w:right="204"/>
              <w:rPr>
                <w:b/>
                <w:sz w:val="21"/>
              </w:rPr>
            </w:pPr>
            <w:r>
              <w:rPr>
                <w:b/>
                <w:sz w:val="21"/>
              </w:rPr>
              <w:t>新平台取消了专家编号概念，采用评审关系编号作为指定及回避专家的主要标志。评审关系编号是根据论文和专家的组合而产生的，具有唯一性，主要目的是</w:t>
            </w:r>
          </w:p>
          <w:p w14:paraId="0CC366A1">
            <w:pPr>
              <w:pStyle w:val="10"/>
              <w:spacing w:line="282" w:lineRule="exact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为了增强保密性，保护专家个人信息。</w:t>
            </w:r>
          </w:p>
        </w:tc>
      </w:tr>
    </w:tbl>
    <w:p w14:paraId="3379BE85">
      <w:pPr>
        <w:pStyle w:val="2"/>
        <w:spacing w:before="4"/>
        <w:rPr>
          <w:rFonts w:ascii="宋体"/>
          <w:b w:val="0"/>
          <w:sz w:val="24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2DDC4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2AEE001B">
            <w:pPr>
              <w:pStyle w:val="10"/>
              <w:spacing w:before="91"/>
              <w:rPr>
                <w:b/>
                <w:sz w:val="21"/>
              </w:rPr>
            </w:pPr>
            <w:r>
              <w:rPr>
                <w:b/>
                <w:sz w:val="21"/>
              </w:rPr>
              <w:t>5 汇总表指定专家如何进行填写？</w:t>
            </w:r>
          </w:p>
        </w:tc>
      </w:tr>
      <w:tr w14:paraId="34A1B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673C3CF0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77ADEFFC">
            <w:pPr>
              <w:pStyle w:val="10"/>
              <w:spacing w:before="6" w:line="218" w:lineRule="auto"/>
              <w:ind w:left="72" w:right="127"/>
              <w:rPr>
                <w:b/>
                <w:sz w:val="21"/>
              </w:rPr>
            </w:pPr>
            <w:r>
              <w:rPr>
                <w:b/>
                <w:sz w:val="21"/>
              </w:rPr>
              <w:t>可以通过填写“评审关系编号”、“专家姓名”或“专家姓名+专家单位”进行指定。请注意老平台专家编号不可用在指定专家操作中，如因专家重名无法指定到</w:t>
            </w:r>
          </w:p>
          <w:p w14:paraId="09488A28">
            <w:pPr>
              <w:pStyle w:val="10"/>
              <w:spacing w:line="282" w:lineRule="exact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专家，可添加专家单位约束或通过评审关系编号进行指定。</w:t>
            </w:r>
          </w:p>
        </w:tc>
      </w:tr>
    </w:tbl>
    <w:p w14:paraId="6B17CDDC">
      <w:pPr>
        <w:pStyle w:val="2"/>
        <w:spacing w:before="4"/>
        <w:rPr>
          <w:rFonts w:ascii="宋体"/>
          <w:b w:val="0"/>
          <w:sz w:val="24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22138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0B631765">
            <w:pPr>
              <w:pStyle w:val="10"/>
              <w:spacing w:before="91"/>
              <w:rPr>
                <w:b/>
                <w:sz w:val="21"/>
              </w:rPr>
            </w:pPr>
            <w:r>
              <w:rPr>
                <w:b/>
                <w:sz w:val="21"/>
              </w:rPr>
              <w:t>6 如单位既有送审原专家，又需要新聘专家，如何进行操作？</w:t>
            </w:r>
          </w:p>
        </w:tc>
      </w:tr>
      <w:tr w14:paraId="6E8C90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0EB86E18">
            <w:pPr>
              <w:pStyle w:val="10"/>
              <w:spacing w:line="33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27F231C6">
            <w:pPr>
              <w:pStyle w:val="10"/>
              <w:spacing w:line="316" w:lineRule="exact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可在汇总表中填写需要送审的原论文评审关系编号或专家姓名，系统会优先送审</w:t>
            </w:r>
          </w:p>
          <w:p w14:paraId="793F6C7F">
            <w:pPr>
              <w:pStyle w:val="10"/>
              <w:spacing w:line="290" w:lineRule="exact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指定专家，然后再对缺少专家进行遴选。</w:t>
            </w:r>
          </w:p>
        </w:tc>
      </w:tr>
    </w:tbl>
    <w:p w14:paraId="60A8CC0F">
      <w:pPr>
        <w:pStyle w:val="2"/>
        <w:spacing w:before="4"/>
        <w:rPr>
          <w:rFonts w:ascii="Times New Roman"/>
          <w:b w:val="0"/>
          <w:sz w:val="13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68DD6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66B88AC6">
            <w:pPr>
              <w:pStyle w:val="10"/>
              <w:spacing w:before="91"/>
              <w:rPr>
                <w:b/>
                <w:sz w:val="21"/>
              </w:rPr>
            </w:pPr>
            <w:r>
              <w:rPr>
                <w:b/>
                <w:sz w:val="21"/>
              </w:rPr>
              <w:t>7 新平台能否回避老平台专家？</w:t>
            </w:r>
          </w:p>
        </w:tc>
      </w:tr>
      <w:tr w14:paraId="7041F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3E3DDF52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7F0B5B7F">
            <w:pPr>
              <w:pStyle w:val="10"/>
              <w:spacing w:line="314" w:lineRule="exact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为方便单位进行新旧系统迁移，新平台汇总表中提供回避老平台专家编号功能，单</w:t>
            </w:r>
          </w:p>
          <w:p w14:paraId="749F9A2D">
            <w:pPr>
              <w:pStyle w:val="10"/>
              <w:spacing w:line="290" w:lineRule="exact"/>
              <w:ind w:left="72"/>
              <w:rPr>
                <w:b/>
                <w:sz w:val="21"/>
              </w:rPr>
            </w:pPr>
            <w:r>
              <w:rPr>
                <w:b/>
                <w:spacing w:val="-19"/>
                <w:sz w:val="21"/>
              </w:rPr>
              <w:t>位需在论文汇总表“回避专家姓名”处填写“</w:t>
            </w:r>
            <w:r>
              <w:rPr>
                <w:b/>
                <w:sz w:val="21"/>
              </w:rPr>
              <w:t>ozj</w:t>
            </w:r>
            <w:r>
              <w:rPr>
                <w:b/>
                <w:spacing w:val="-15"/>
                <w:sz w:val="21"/>
              </w:rPr>
              <w:t xml:space="preserve">+专家编号”进行回避，如 </w:t>
            </w:r>
            <w:r>
              <w:rPr>
                <w:b/>
                <w:sz w:val="21"/>
              </w:rPr>
              <w:t>ozj123456。</w:t>
            </w:r>
          </w:p>
        </w:tc>
      </w:tr>
    </w:tbl>
    <w:p w14:paraId="77A5F740">
      <w:pPr>
        <w:pStyle w:val="2"/>
        <w:spacing w:before="1"/>
        <w:rPr>
          <w:rFonts w:ascii="Times New Roman"/>
          <w:b w:val="0"/>
          <w:sz w:val="27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652BC4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3167CC04">
            <w:pPr>
              <w:pStyle w:val="10"/>
              <w:spacing w:before="93"/>
              <w:rPr>
                <w:b/>
                <w:sz w:val="21"/>
              </w:rPr>
            </w:pPr>
            <w:r>
              <w:rPr>
                <w:b/>
                <w:sz w:val="21"/>
              </w:rPr>
              <w:t>8 上传汇总表没填回避专家，后期可以添加回避专家吗？</w:t>
            </w:r>
          </w:p>
        </w:tc>
      </w:tr>
      <w:tr w14:paraId="59BFB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11031D45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6C1CD014">
            <w:pPr>
              <w:pStyle w:val="10"/>
              <w:spacing w:before="52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不可以，要在上传的汇总表中进行填写。</w:t>
            </w:r>
          </w:p>
        </w:tc>
      </w:tr>
    </w:tbl>
    <w:p w14:paraId="5397C4D2">
      <w:pPr>
        <w:pStyle w:val="2"/>
        <w:spacing w:before="1"/>
        <w:rPr>
          <w:rFonts w:ascii="Times New Roman"/>
          <w:b w:val="0"/>
          <w:sz w:val="27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73D92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3C75770B">
            <w:pPr>
              <w:pStyle w:val="10"/>
              <w:spacing w:before="91"/>
              <w:rPr>
                <w:b/>
                <w:sz w:val="21"/>
              </w:rPr>
            </w:pPr>
            <w:r>
              <w:rPr>
                <w:b/>
                <w:sz w:val="21"/>
              </w:rPr>
              <w:t>9 上传后的汇总表能否进行修改？</w:t>
            </w:r>
          </w:p>
        </w:tc>
      </w:tr>
      <w:tr w14:paraId="4ACDB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4CFDF4D2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704A4C02">
            <w:pPr>
              <w:pStyle w:val="10"/>
              <w:spacing w:line="314" w:lineRule="exact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论文送审前可以对汇总表进行删除并重新上传更新后的汇总表。但论文送审后相关</w:t>
            </w:r>
          </w:p>
          <w:p w14:paraId="3381CA80">
            <w:pPr>
              <w:pStyle w:val="10"/>
              <w:spacing w:line="291" w:lineRule="exact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论文信息不可进行修改。</w:t>
            </w:r>
          </w:p>
        </w:tc>
      </w:tr>
    </w:tbl>
    <w:p w14:paraId="5F68EB8E">
      <w:pPr>
        <w:pStyle w:val="2"/>
        <w:spacing w:before="1"/>
        <w:rPr>
          <w:rFonts w:ascii="Times New Roman"/>
          <w:b w:val="0"/>
          <w:sz w:val="27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6681A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310BCE1B">
            <w:pPr>
              <w:pStyle w:val="10"/>
              <w:spacing w:before="91"/>
              <w:rPr>
                <w:b/>
                <w:sz w:val="21"/>
              </w:rPr>
            </w:pPr>
            <w:r>
              <w:rPr>
                <w:b/>
                <w:sz w:val="21"/>
              </w:rPr>
              <w:t>10 论文汇总表中是否可以不填院系？</w:t>
            </w:r>
          </w:p>
        </w:tc>
      </w:tr>
      <w:tr w14:paraId="597DD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610768A4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5F2BF392">
            <w:pPr>
              <w:pStyle w:val="10"/>
              <w:spacing w:line="314" w:lineRule="exact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院系填写是为了方便学校反馈结果的分类管理，评审专家在系统中看不见学生院</w:t>
            </w:r>
          </w:p>
          <w:p w14:paraId="50C354E9">
            <w:pPr>
              <w:pStyle w:val="10"/>
              <w:spacing w:line="292" w:lineRule="exact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系信息。</w:t>
            </w:r>
          </w:p>
        </w:tc>
      </w:tr>
    </w:tbl>
    <w:p w14:paraId="74F48233">
      <w:pPr>
        <w:pStyle w:val="2"/>
        <w:rPr>
          <w:rFonts w:ascii="Times New Roman"/>
          <w:b w:val="0"/>
          <w:sz w:val="20"/>
        </w:rPr>
      </w:pPr>
    </w:p>
    <w:p w14:paraId="4D35BE0A">
      <w:pPr>
        <w:pStyle w:val="2"/>
        <w:spacing w:before="7"/>
        <w:rPr>
          <w:rFonts w:ascii="Times New Roman"/>
          <w:sz w:val="28"/>
          <w:lang w:val="en-US"/>
        </w:rPr>
      </w:pPr>
      <w:r>
        <w:rPr>
          <w:rFonts w:hint="eastAsia" w:ascii="Times New Roman"/>
          <w:sz w:val="28"/>
          <w:lang w:val="en-US"/>
        </w:rPr>
        <w:t>二、上传附件</w:t>
      </w:r>
    </w:p>
    <w:p w14:paraId="004CD134">
      <w:pPr>
        <w:pStyle w:val="2"/>
        <w:spacing w:before="4" w:after="1"/>
        <w:rPr>
          <w:rFonts w:ascii="Times New Roman"/>
          <w:b w:val="0"/>
          <w:sz w:val="15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451AE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73E6ACB6">
            <w:pPr>
              <w:pStyle w:val="10"/>
              <w:spacing w:before="91"/>
              <w:rPr>
                <w:b/>
                <w:sz w:val="21"/>
              </w:rPr>
            </w:pPr>
            <w:r>
              <w:rPr>
                <w:b/>
                <w:sz w:val="21"/>
              </w:rPr>
              <w:t>1 评审是要单独提供论文摘要吗？</w:t>
            </w:r>
          </w:p>
        </w:tc>
      </w:tr>
      <w:tr w14:paraId="1B039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61FF3A06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7EC05E92">
            <w:pPr>
              <w:pStyle w:val="10"/>
              <w:spacing w:line="290" w:lineRule="exact"/>
              <w:ind w:left="72"/>
              <w:rPr>
                <w:b/>
                <w:sz w:val="21"/>
              </w:rPr>
            </w:pPr>
            <w:r>
              <w:rPr>
                <w:b/>
                <w:spacing w:val="-16"/>
                <w:sz w:val="21"/>
              </w:rPr>
              <w:t>摘要作为遴选算法参考的重要条件，为保证遴选准确性，必须进行提供。摘要为.</w:t>
            </w:r>
            <w:r>
              <w:rPr>
                <w:b/>
                <w:sz w:val="21"/>
              </w:rPr>
              <w:t>txt格式，需与论文一起压缩为.zip 包一并上传。</w:t>
            </w:r>
          </w:p>
        </w:tc>
      </w:tr>
    </w:tbl>
    <w:p w14:paraId="78D6101F">
      <w:pPr>
        <w:pStyle w:val="2"/>
        <w:spacing w:before="1"/>
        <w:rPr>
          <w:rFonts w:ascii="Times New Roman"/>
          <w:b w:val="0"/>
          <w:sz w:val="27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17375F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3555FC8C">
            <w:pPr>
              <w:pStyle w:val="10"/>
              <w:spacing w:before="91"/>
              <w:rPr>
                <w:b/>
                <w:sz w:val="21"/>
              </w:rPr>
            </w:pPr>
            <w:r>
              <w:rPr>
                <w:b/>
                <w:sz w:val="21"/>
              </w:rPr>
              <w:t>2 艺术类作品如何进行上传？</w:t>
            </w:r>
          </w:p>
        </w:tc>
      </w:tr>
      <w:tr w14:paraId="49ECA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5C84F27B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0C5BE69C">
            <w:pPr>
              <w:pStyle w:val="10"/>
              <w:spacing w:line="292" w:lineRule="exact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艺术类作品可作为“其他材料”类型与艺术论文、摘要等文件一起打包为.zip 压缩包进行上传。</w:t>
            </w:r>
          </w:p>
        </w:tc>
      </w:tr>
    </w:tbl>
    <w:p w14:paraId="0E299C2A">
      <w:pPr>
        <w:pStyle w:val="2"/>
        <w:spacing w:before="7"/>
        <w:rPr>
          <w:rFonts w:ascii="Times New Roman"/>
          <w:b w:val="0"/>
          <w:sz w:val="28"/>
        </w:rPr>
      </w:pPr>
    </w:p>
    <w:p w14:paraId="0E864D35">
      <w:pPr>
        <w:pStyle w:val="2"/>
        <w:spacing w:before="7"/>
        <w:rPr>
          <w:rFonts w:ascii="Times New Roman"/>
          <w:sz w:val="28"/>
          <w:lang w:val="en-US"/>
        </w:rPr>
      </w:pPr>
      <w:r>
        <w:rPr>
          <w:rFonts w:hint="eastAsia" w:ascii="Times New Roman"/>
          <w:sz w:val="28"/>
          <w:lang w:val="en-US"/>
        </w:rPr>
        <w:t>三、复评及增/减评</w:t>
      </w:r>
    </w:p>
    <w:p w14:paraId="6105D623">
      <w:pPr>
        <w:pStyle w:val="2"/>
        <w:spacing w:before="4" w:after="1"/>
        <w:rPr>
          <w:rFonts w:ascii="Times New Roman"/>
          <w:b w:val="0"/>
          <w:sz w:val="15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3CC21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43ED83DE">
            <w:pPr>
              <w:pStyle w:val="10"/>
              <w:spacing w:before="55"/>
              <w:rPr>
                <w:b/>
                <w:sz w:val="21"/>
              </w:rPr>
            </w:pPr>
            <w:r>
              <w:rPr>
                <w:b/>
                <w:sz w:val="21"/>
              </w:rPr>
              <w:t>1 如何进行复评操作？</w:t>
            </w:r>
          </w:p>
        </w:tc>
      </w:tr>
      <w:tr w14:paraId="71A7F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6E77987D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0FCB8F23">
            <w:pPr>
              <w:pStyle w:val="10"/>
              <w:spacing w:before="6" w:line="218" w:lineRule="auto"/>
              <w:ind w:left="72" w:right="54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对于已在新平台完成评审的初评论文可以进行复评操作。复评论文需在汇总表中填写与初评论文相同的“论文类型（答辩前，抽检，评优）、学号、论文题目”， 并根据单位需求在论文汇总表“指定专家/回避专家姓名”处填写初评对应的评审</w:t>
            </w:r>
          </w:p>
          <w:p w14:paraId="37F7EA84">
            <w:pPr>
              <w:pStyle w:val="10"/>
              <w:spacing w:line="284" w:lineRule="exact"/>
              <w:ind w:left="72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关系编号，此后系统可自动送审或回避相应专家。</w:t>
            </w:r>
          </w:p>
        </w:tc>
      </w:tr>
    </w:tbl>
    <w:p w14:paraId="7B3D147B">
      <w:pPr>
        <w:pStyle w:val="2"/>
        <w:spacing w:before="1"/>
        <w:rPr>
          <w:rFonts w:ascii="Times New Roman"/>
          <w:b w:val="0"/>
          <w:sz w:val="27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6B37C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2C6B0FE8">
            <w:pPr>
              <w:pStyle w:val="10"/>
              <w:spacing w:before="52"/>
              <w:rPr>
                <w:b/>
                <w:sz w:val="21"/>
              </w:rPr>
            </w:pPr>
            <w:r>
              <w:rPr>
                <w:b/>
                <w:sz w:val="21"/>
              </w:rPr>
              <w:t>2 复评时可以更改学生学号或论文题目吗？</w:t>
            </w:r>
          </w:p>
        </w:tc>
      </w:tr>
      <w:tr w14:paraId="53FD6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3C786EF3">
            <w:pPr>
              <w:pStyle w:val="10"/>
              <w:spacing w:line="33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58427F39">
            <w:pPr>
              <w:pStyle w:val="10"/>
              <w:spacing w:line="316" w:lineRule="exact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不可以，复评如改变学号、论文题目或论文类型，该论文会被认定为一篇全新的论</w:t>
            </w:r>
          </w:p>
          <w:p w14:paraId="36B47F45">
            <w:pPr>
              <w:pStyle w:val="10"/>
              <w:spacing w:line="290" w:lineRule="exact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文。</w:t>
            </w:r>
          </w:p>
        </w:tc>
      </w:tr>
    </w:tbl>
    <w:p w14:paraId="13325526">
      <w:pPr>
        <w:pStyle w:val="2"/>
        <w:spacing w:before="1"/>
        <w:rPr>
          <w:rFonts w:ascii="Times New Roman"/>
          <w:b w:val="0"/>
          <w:sz w:val="27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419E3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6AF9BBE8">
            <w:pPr>
              <w:pStyle w:val="10"/>
              <w:spacing w:before="52"/>
              <w:rPr>
                <w:b/>
                <w:sz w:val="21"/>
              </w:rPr>
            </w:pPr>
            <w:r>
              <w:rPr>
                <w:b/>
                <w:sz w:val="21"/>
              </w:rPr>
              <w:t>3 复评是否只重传汇总表，论文不用重新上传？</w:t>
            </w:r>
          </w:p>
        </w:tc>
      </w:tr>
      <w:tr w14:paraId="445A2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5B270FD9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598FE368">
            <w:pPr>
              <w:pStyle w:val="10"/>
              <w:spacing w:before="52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不论初评、复评均当做一篇新论文需将所有相关附件都上传。</w:t>
            </w:r>
          </w:p>
        </w:tc>
      </w:tr>
    </w:tbl>
    <w:p w14:paraId="1733C44D">
      <w:pPr>
        <w:pStyle w:val="2"/>
        <w:spacing w:before="1"/>
        <w:rPr>
          <w:rFonts w:ascii="Times New Roman"/>
          <w:b w:val="0"/>
          <w:sz w:val="27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3CCC2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4AB0E41A">
            <w:pPr>
              <w:pStyle w:val="10"/>
              <w:spacing w:line="314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4 复评专家可以自动指定初评未通过的专家吗？还是必须自己手动备注指定，如果不写</w:t>
            </w:r>
          </w:p>
          <w:p w14:paraId="7920DB76">
            <w:pPr>
              <w:pStyle w:val="10"/>
              <w:spacing w:line="29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的话还是进行随机原则吗？</w:t>
            </w:r>
          </w:p>
        </w:tc>
      </w:tr>
      <w:tr w14:paraId="4766C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4D409B0A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58CCB419">
            <w:pPr>
              <w:pStyle w:val="10"/>
              <w:spacing w:line="290" w:lineRule="exact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复评专家的指定及回避需在汇总表中进行手动填写，如不填写则会按照随机原则进行送审。</w:t>
            </w:r>
          </w:p>
        </w:tc>
      </w:tr>
    </w:tbl>
    <w:tbl>
      <w:tblPr>
        <w:tblStyle w:val="6"/>
        <w:tblpPr w:leftFromText="180" w:rightFromText="180" w:vertAnchor="text" w:horzAnchor="page" w:tblpX="1804" w:tblpY="355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76EFB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35E339B6">
            <w:pPr>
              <w:pStyle w:val="10"/>
              <w:spacing w:before="53"/>
              <w:rPr>
                <w:b/>
                <w:sz w:val="21"/>
              </w:rPr>
            </w:pPr>
            <w:r>
              <w:rPr>
                <w:b/>
                <w:sz w:val="21"/>
              </w:rPr>
              <w:t>5 汇总表的指定及回避专家是只有复评可以进行填写吗？</w:t>
            </w:r>
          </w:p>
        </w:tc>
      </w:tr>
      <w:tr w14:paraId="4F94B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4C4689FB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43525B4F">
            <w:pPr>
              <w:pStyle w:val="10"/>
              <w:spacing w:before="52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初评、复评均可根据单位需求进行填写。</w:t>
            </w:r>
          </w:p>
        </w:tc>
      </w:tr>
    </w:tbl>
    <w:tbl>
      <w:tblPr>
        <w:tblStyle w:val="6"/>
        <w:tblpPr w:leftFromText="180" w:rightFromText="180" w:vertAnchor="text" w:horzAnchor="page" w:tblpX="1777" w:tblpY="1664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50098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1C1B00BA">
            <w:pPr>
              <w:pStyle w:val="10"/>
              <w:spacing w:before="5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6</w:t>
            </w:r>
            <w:r>
              <w:rPr>
                <w:b/>
                <w:sz w:val="21"/>
              </w:rPr>
              <w:t xml:space="preserve"> 论文指定送原专家时，专家复评时能看到原来的评审意见吗？</w:t>
            </w:r>
          </w:p>
        </w:tc>
      </w:tr>
      <w:tr w14:paraId="513FE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37CF2094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243B664F">
            <w:pPr>
              <w:pStyle w:val="10"/>
              <w:spacing w:before="52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不可以。</w:t>
            </w:r>
          </w:p>
        </w:tc>
      </w:tr>
    </w:tbl>
    <w:tbl>
      <w:tblPr>
        <w:tblStyle w:val="6"/>
        <w:tblpPr w:leftFromText="180" w:rightFromText="180" w:vertAnchor="text" w:horzAnchor="page" w:tblpX="1804" w:tblpY="2930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38DE6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33684DCA">
            <w:pPr>
              <w:pStyle w:val="10"/>
              <w:spacing w:before="5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1</w:t>
            </w:r>
            <w:r>
              <w:rPr>
                <w:b/>
                <w:sz w:val="21"/>
              </w:rPr>
              <w:t xml:space="preserve"> 申诉的论文可以直接增评吗？</w:t>
            </w:r>
          </w:p>
        </w:tc>
      </w:tr>
      <w:tr w14:paraId="19A57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51ECAB7F">
            <w:pPr>
              <w:pStyle w:val="10"/>
              <w:spacing w:line="33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64E51BA3">
            <w:pPr>
              <w:pStyle w:val="10"/>
              <w:spacing w:before="55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可以，在论文管理页面进行增评操作后，进行重新遴选即可。</w:t>
            </w:r>
          </w:p>
        </w:tc>
      </w:tr>
    </w:tbl>
    <w:tbl>
      <w:tblPr>
        <w:tblStyle w:val="6"/>
        <w:tblpPr w:leftFromText="180" w:rightFromText="180" w:vertAnchor="text" w:horzAnchor="page" w:tblpX="1749" w:tblpY="4292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175AC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145B82BF">
            <w:pPr>
              <w:pStyle w:val="10"/>
              <w:spacing w:before="5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2</w:t>
            </w:r>
            <w:r>
              <w:rPr>
                <w:b/>
                <w:sz w:val="21"/>
              </w:rPr>
              <w:t xml:space="preserve"> 第一次意见返回后如果需要增评，第一次评审的专家会自动屏蔽吗？</w:t>
            </w:r>
          </w:p>
        </w:tc>
      </w:tr>
      <w:tr w14:paraId="179BE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08E89DF4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06ED64D4">
            <w:pPr>
              <w:pStyle w:val="10"/>
              <w:spacing w:before="55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增评会自动屏蔽已遴选过的专家。</w:t>
            </w:r>
          </w:p>
        </w:tc>
      </w:tr>
    </w:tbl>
    <w:p w14:paraId="3E939DCF">
      <w:pPr>
        <w:pStyle w:val="2"/>
        <w:spacing w:before="7"/>
        <w:rPr>
          <w:rFonts w:ascii="Times New Roman"/>
          <w:sz w:val="28"/>
          <w:lang w:val="en-US"/>
        </w:rPr>
      </w:pPr>
      <w:r>
        <w:rPr>
          <w:rFonts w:hint="eastAsia" w:ascii="Times New Roman"/>
          <w:sz w:val="28"/>
          <w:lang w:val="en-US"/>
        </w:rPr>
        <w:t>四、评审关系管理</w:t>
      </w:r>
    </w:p>
    <w:p w14:paraId="27B37775">
      <w:pPr>
        <w:pStyle w:val="2"/>
        <w:spacing w:before="4" w:after="1"/>
        <w:rPr>
          <w:rFonts w:ascii="Times New Roman"/>
          <w:b w:val="0"/>
          <w:sz w:val="15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229EE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42F3A3A2">
            <w:pPr>
              <w:pStyle w:val="10"/>
              <w:spacing w:before="55"/>
              <w:rPr>
                <w:b/>
                <w:sz w:val="21"/>
              </w:rPr>
            </w:pPr>
            <w:r>
              <w:rPr>
                <w:b/>
                <w:sz w:val="21"/>
              </w:rPr>
              <w:t>1 评审关系管理可以查看评审状态吗？</w:t>
            </w:r>
          </w:p>
        </w:tc>
      </w:tr>
      <w:tr w14:paraId="23236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20CA8382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0020AE70">
            <w:pPr>
              <w:pStyle w:val="10"/>
              <w:spacing w:before="55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可以，评审关系管理页面点击“高级查询”，选择“评审状态”筛选项。</w:t>
            </w:r>
          </w:p>
        </w:tc>
      </w:tr>
    </w:tbl>
    <w:p w14:paraId="162DCB9E">
      <w:pPr>
        <w:pStyle w:val="2"/>
        <w:rPr>
          <w:rFonts w:ascii="Times New Roman"/>
          <w:b w:val="0"/>
          <w:sz w:val="20"/>
        </w:rPr>
      </w:pPr>
    </w:p>
    <w:p w14:paraId="300B1ACE">
      <w:pPr>
        <w:pStyle w:val="2"/>
        <w:rPr>
          <w:rFonts w:ascii="Times New Roman"/>
          <w:b w:val="0"/>
          <w:sz w:val="20"/>
        </w:rPr>
      </w:pPr>
    </w:p>
    <w:p w14:paraId="2C06E507">
      <w:pPr>
        <w:pStyle w:val="2"/>
        <w:spacing w:before="7"/>
        <w:rPr>
          <w:rFonts w:ascii="Times New Roman"/>
          <w:sz w:val="28"/>
          <w:lang w:val="en-US"/>
        </w:rPr>
      </w:pPr>
      <w:r>
        <w:rPr>
          <w:rFonts w:hint="eastAsia" w:ascii="Times New Roman"/>
          <w:sz w:val="28"/>
          <w:lang w:val="en-US"/>
        </w:rPr>
        <w:t>五、评审结果导出</w:t>
      </w:r>
      <w:r>
        <w:rPr>
          <w:rFonts w:ascii="Times New Roman"/>
          <w:sz w:val="28"/>
          <w:lang w:val="en-US"/>
        </w:rPr>
        <w:t>及下载</w:t>
      </w:r>
    </w:p>
    <w:p w14:paraId="21D5FBA9">
      <w:pPr>
        <w:pStyle w:val="2"/>
        <w:spacing w:before="4" w:after="1"/>
        <w:rPr>
          <w:rFonts w:ascii="Times New Roman"/>
          <w:b w:val="0"/>
          <w:sz w:val="15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776A9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44FE26E7">
            <w:pPr>
              <w:pStyle w:val="10"/>
              <w:spacing w:before="5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3</w:t>
            </w:r>
            <w:r>
              <w:rPr>
                <w:b/>
                <w:sz w:val="21"/>
              </w:rPr>
              <w:t xml:space="preserve"> 评阅书可以批量导出吗？</w:t>
            </w:r>
          </w:p>
        </w:tc>
      </w:tr>
      <w:tr w14:paraId="1BD8C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4C219497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3282878B">
            <w:pPr>
              <w:pStyle w:val="10"/>
              <w:spacing w:before="52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可以，在评审结果下载页面可以批量勾选并下载。</w:t>
            </w:r>
          </w:p>
        </w:tc>
      </w:tr>
    </w:tbl>
    <w:p w14:paraId="74D8D1B9">
      <w:pPr>
        <w:pStyle w:val="2"/>
        <w:spacing w:before="1"/>
        <w:rPr>
          <w:rFonts w:ascii="Times New Roman"/>
          <w:b w:val="0"/>
          <w:sz w:val="27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27991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0006FA6E">
            <w:pPr>
              <w:pStyle w:val="10"/>
              <w:spacing w:before="5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4</w:t>
            </w:r>
            <w:r>
              <w:rPr>
                <w:b/>
                <w:sz w:val="21"/>
              </w:rPr>
              <w:t xml:space="preserve"> 评阅书结果已经生成，但评审结果导出的 EXCEL 中无此信息怎么处理？</w:t>
            </w:r>
          </w:p>
        </w:tc>
      </w:tr>
      <w:tr w14:paraId="151BDF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049A1F22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0B9B99CE">
            <w:pPr>
              <w:pStyle w:val="10"/>
              <w:spacing w:line="314" w:lineRule="exact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单位评审结果导出表每 24 小时进行一次数据更新，存在一定延迟，可等待 24 小时</w:t>
            </w:r>
          </w:p>
          <w:p w14:paraId="238716D3">
            <w:pPr>
              <w:pStyle w:val="10"/>
              <w:spacing w:line="290" w:lineRule="exact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后进行查看。</w:t>
            </w:r>
          </w:p>
        </w:tc>
      </w:tr>
    </w:tbl>
    <w:p w14:paraId="0B4FBA9F">
      <w:pPr>
        <w:pStyle w:val="2"/>
        <w:rPr>
          <w:rFonts w:ascii="Times New Roman"/>
          <w:b w:val="0"/>
          <w:sz w:val="20"/>
        </w:rPr>
      </w:pPr>
    </w:p>
    <w:p w14:paraId="7A1012FA">
      <w:pPr>
        <w:pStyle w:val="2"/>
        <w:spacing w:before="7"/>
        <w:rPr>
          <w:rFonts w:ascii="Times New Roman"/>
          <w:sz w:val="28"/>
          <w:lang w:val="en-US"/>
        </w:rPr>
      </w:pPr>
      <w:r>
        <w:rPr>
          <w:rFonts w:hint="eastAsia" w:ascii="Times New Roman"/>
          <w:sz w:val="28"/>
          <w:lang w:val="en-US"/>
        </w:rPr>
        <w:t>六、</w:t>
      </w:r>
      <w:r>
        <w:rPr>
          <w:rFonts w:ascii="Times New Roman"/>
          <w:sz w:val="28"/>
          <w:lang w:val="en-US"/>
        </w:rPr>
        <w:t>用户管理及院系二级账号管理</w:t>
      </w:r>
    </w:p>
    <w:p w14:paraId="09D6FF9E">
      <w:pPr>
        <w:pStyle w:val="2"/>
        <w:spacing w:before="4" w:after="1"/>
        <w:rPr>
          <w:rFonts w:ascii="Times New Roman"/>
          <w:b w:val="0"/>
          <w:sz w:val="15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10DA6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65CAE4A3">
            <w:pPr>
              <w:pStyle w:val="10"/>
              <w:spacing w:before="55"/>
              <w:rPr>
                <w:b/>
                <w:sz w:val="21"/>
              </w:rPr>
            </w:pPr>
            <w:r>
              <w:rPr>
                <w:b/>
                <w:sz w:val="21"/>
              </w:rPr>
              <w:t>1 单位可以有多个一级账号吗？</w:t>
            </w:r>
          </w:p>
        </w:tc>
      </w:tr>
      <w:tr w14:paraId="07258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02897191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71A6BED4">
            <w:pPr>
              <w:pStyle w:val="10"/>
              <w:spacing w:line="314" w:lineRule="exact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可以，单位可以申请多个一级账号，共同管理单位全部论文。但由于一级账号具有</w:t>
            </w:r>
          </w:p>
          <w:p w14:paraId="4AA47CE5">
            <w:pPr>
              <w:pStyle w:val="10"/>
              <w:spacing w:line="290" w:lineRule="exact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的数据及操作权限相同，建议单位慎重申请多个一级账号。</w:t>
            </w:r>
          </w:p>
        </w:tc>
      </w:tr>
    </w:tbl>
    <w:p w14:paraId="1B779C22">
      <w:pPr>
        <w:spacing w:line="290" w:lineRule="exact"/>
        <w:rPr>
          <w:sz w:val="21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608E6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428B750D">
            <w:pPr>
              <w:pStyle w:val="10"/>
              <w:spacing w:before="52"/>
              <w:rPr>
                <w:b/>
                <w:sz w:val="21"/>
              </w:rPr>
            </w:pPr>
            <w:r>
              <w:rPr>
                <w:b/>
                <w:sz w:val="21"/>
              </w:rPr>
              <w:t>2 单位二级账号如果未按规定进行命名怎么办？</w:t>
            </w:r>
          </w:p>
        </w:tc>
      </w:tr>
      <w:tr w14:paraId="7E8981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56FE45A1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6AFDB5AB">
            <w:pPr>
              <w:pStyle w:val="10"/>
              <w:spacing w:before="6" w:line="218" w:lineRule="auto"/>
              <w:ind w:left="72" w:right="44"/>
              <w:rPr>
                <w:b/>
                <w:sz w:val="21"/>
              </w:rPr>
            </w:pPr>
            <w:r>
              <w:rPr>
                <w:b/>
                <w:sz w:val="21"/>
              </w:rPr>
              <w:t>二级账号必须按操作手册规范进行操作，命名规范为单位编码+ej+英文/数字，不可以使用中文进行命名。已经创建且未符合命名规范账号暂不影响使用，但后续会</w:t>
            </w:r>
          </w:p>
          <w:p w14:paraId="00F2ABE8">
            <w:pPr>
              <w:pStyle w:val="10"/>
              <w:spacing w:line="282" w:lineRule="exact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进行统一修正。</w:t>
            </w:r>
          </w:p>
        </w:tc>
      </w:tr>
    </w:tbl>
    <w:p w14:paraId="1F2FC9EA">
      <w:pPr>
        <w:pStyle w:val="2"/>
        <w:spacing w:before="1"/>
        <w:rPr>
          <w:rFonts w:ascii="Times New Roman"/>
          <w:b w:val="0"/>
          <w:sz w:val="27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60854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60C65C56">
            <w:pPr>
              <w:pStyle w:val="10"/>
              <w:spacing w:before="55"/>
              <w:rPr>
                <w:b/>
                <w:sz w:val="21"/>
              </w:rPr>
            </w:pPr>
            <w:r>
              <w:rPr>
                <w:b/>
                <w:sz w:val="21"/>
              </w:rPr>
              <w:t>3 矫正研究方向是二级管理员可以操作的吗？</w:t>
            </w:r>
          </w:p>
        </w:tc>
      </w:tr>
      <w:tr w14:paraId="17A87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621E9F80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73D7E162">
            <w:pPr>
              <w:pStyle w:val="10"/>
              <w:spacing w:before="52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一\二级管理员均可操作。</w:t>
            </w:r>
          </w:p>
        </w:tc>
      </w:tr>
    </w:tbl>
    <w:p w14:paraId="6DC75369">
      <w:pPr>
        <w:pStyle w:val="2"/>
        <w:rPr>
          <w:rFonts w:ascii="Times New Roman"/>
          <w:b w:val="0"/>
          <w:sz w:val="20"/>
        </w:rPr>
      </w:pPr>
    </w:p>
    <w:p w14:paraId="2FD66CDE">
      <w:pPr>
        <w:pStyle w:val="2"/>
        <w:spacing w:before="7"/>
        <w:rPr>
          <w:rFonts w:ascii="Times New Roman"/>
          <w:sz w:val="28"/>
          <w:lang w:val="en-US"/>
        </w:rPr>
      </w:pPr>
      <w:r>
        <w:rPr>
          <w:rFonts w:hint="eastAsia" w:ascii="Times New Roman"/>
          <w:sz w:val="28"/>
          <w:lang w:val="en-US"/>
        </w:rPr>
        <w:t>七、其他</w:t>
      </w:r>
    </w:p>
    <w:p w14:paraId="64C184BF">
      <w:pPr>
        <w:pStyle w:val="2"/>
        <w:spacing w:before="4" w:after="1"/>
        <w:rPr>
          <w:rFonts w:ascii="Times New Roman"/>
          <w:b w:val="0"/>
          <w:sz w:val="15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63B73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6431731F">
            <w:pPr>
              <w:pStyle w:val="10"/>
              <w:spacing w:before="53"/>
              <w:rPr>
                <w:b/>
                <w:sz w:val="21"/>
              </w:rPr>
            </w:pPr>
            <w:r>
              <w:rPr>
                <w:b/>
                <w:sz w:val="21"/>
              </w:rPr>
              <w:t>1 自设学科单位想要补充怎么办？</w:t>
            </w:r>
          </w:p>
        </w:tc>
      </w:tr>
      <w:tr w14:paraId="29AEE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3AEAC387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5D68F730">
            <w:pPr>
              <w:pStyle w:val="10"/>
              <w:spacing w:line="282" w:lineRule="exact"/>
              <w:ind w:left="72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为保证平台送审准确性，自设学科必须在“教育部二级学科自主设置信息平台”进</w:t>
            </w:r>
            <w:r>
              <w:rPr>
                <w:b/>
                <w:spacing w:val="-8"/>
                <w:sz w:val="21"/>
              </w:rPr>
              <w:t>行备案后才可使用。如未进行备案，建议二级学科填写相近的二级学科，以方便专</w:t>
            </w:r>
            <w:r>
              <w:rPr>
                <w:b/>
                <w:sz w:val="21"/>
              </w:rPr>
              <w:t>家遴选。</w:t>
            </w:r>
          </w:p>
        </w:tc>
      </w:tr>
    </w:tbl>
    <w:p w14:paraId="055465E0">
      <w:pPr>
        <w:pStyle w:val="2"/>
        <w:spacing w:before="1"/>
        <w:rPr>
          <w:rFonts w:ascii="Times New Roman"/>
          <w:b w:val="0"/>
          <w:sz w:val="27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0F60E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67722E42">
            <w:pPr>
              <w:pStyle w:val="10"/>
              <w:spacing w:before="55"/>
              <w:rPr>
                <w:b/>
                <w:sz w:val="21"/>
              </w:rPr>
            </w:pPr>
            <w:r>
              <w:rPr>
                <w:b/>
                <w:sz w:val="21"/>
              </w:rPr>
              <w:t>2 旧平台数据新平台会有展示吗？</w:t>
            </w:r>
          </w:p>
        </w:tc>
      </w:tr>
      <w:tr w14:paraId="4ABB0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3C20806D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1145DE53">
            <w:pPr>
              <w:pStyle w:val="10"/>
              <w:spacing w:before="52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暂时没有。</w:t>
            </w:r>
          </w:p>
        </w:tc>
      </w:tr>
    </w:tbl>
    <w:p w14:paraId="62B639D5">
      <w:pPr>
        <w:pStyle w:val="2"/>
        <w:spacing w:before="1"/>
        <w:rPr>
          <w:rFonts w:ascii="Times New Roman"/>
          <w:b w:val="0"/>
          <w:sz w:val="27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1E336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68C37D30">
            <w:pPr>
              <w:pStyle w:val="10"/>
              <w:spacing w:before="52"/>
              <w:rPr>
                <w:b/>
                <w:sz w:val="21"/>
              </w:rPr>
            </w:pPr>
            <w:r>
              <w:rPr>
                <w:b/>
                <w:sz w:val="21"/>
              </w:rPr>
              <w:t>3 终止评审后看不到论文信息了？</w:t>
            </w:r>
          </w:p>
        </w:tc>
      </w:tr>
      <w:tr w14:paraId="36D01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24C14501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0F103909">
            <w:pPr>
              <w:pStyle w:val="10"/>
              <w:spacing w:line="314" w:lineRule="exact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为方便单位进行送审，论文管理会直接展示需要送审的论文。如需查看更多的论文</w:t>
            </w:r>
          </w:p>
          <w:p w14:paraId="27602BC7">
            <w:pPr>
              <w:pStyle w:val="10"/>
              <w:spacing w:line="290" w:lineRule="exact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数据，可清空筛选项进行。</w:t>
            </w:r>
          </w:p>
        </w:tc>
      </w:tr>
    </w:tbl>
    <w:p w14:paraId="3FE0A3DB">
      <w:pPr>
        <w:pStyle w:val="2"/>
        <w:spacing w:before="1"/>
        <w:rPr>
          <w:rFonts w:ascii="Times New Roman"/>
          <w:b w:val="0"/>
          <w:sz w:val="27"/>
        </w:rPr>
      </w:pPr>
    </w:p>
    <w:tbl>
      <w:tblPr>
        <w:tblStyle w:val="6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705"/>
      </w:tblGrid>
      <w:tr w14:paraId="44C26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316" w:type="dxa"/>
            <w:gridSpan w:val="2"/>
            <w:tcBorders>
              <w:top w:val="single" w:color="FFD966" w:sz="4" w:space="0"/>
              <w:bottom w:val="single" w:color="FFD966" w:sz="4" w:space="0"/>
            </w:tcBorders>
            <w:shd w:val="clear" w:color="auto" w:fill="FFF1CC"/>
          </w:tcPr>
          <w:p w14:paraId="6D4972D6">
            <w:pPr>
              <w:pStyle w:val="10"/>
              <w:spacing w:before="55"/>
              <w:rPr>
                <w:b/>
                <w:sz w:val="21"/>
              </w:rPr>
            </w:pPr>
            <w:r>
              <w:rPr>
                <w:b/>
                <w:sz w:val="21"/>
              </w:rPr>
              <w:t>4 专家库如何补充？现在是否可以继续补充？</w:t>
            </w:r>
          </w:p>
        </w:tc>
      </w:tr>
      <w:tr w14:paraId="592A83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11" w:type="dxa"/>
            <w:tcBorders>
              <w:top w:val="single" w:color="FFD966" w:sz="4" w:space="0"/>
              <w:bottom w:val="single" w:color="FFD966" w:sz="4" w:space="0"/>
            </w:tcBorders>
          </w:tcPr>
          <w:p w14:paraId="733597DE">
            <w:pPr>
              <w:pStyle w:val="10"/>
              <w:spacing w:line="330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答：</w:t>
            </w:r>
          </w:p>
        </w:tc>
        <w:tc>
          <w:tcPr>
            <w:tcW w:w="7705" w:type="dxa"/>
            <w:tcBorders>
              <w:top w:val="single" w:color="FFD966" w:sz="4" w:space="0"/>
              <w:bottom w:val="single" w:color="FFD966" w:sz="4" w:space="0"/>
            </w:tcBorders>
          </w:tcPr>
          <w:p w14:paraId="17378D1F">
            <w:pPr>
              <w:pStyle w:val="10"/>
              <w:spacing w:before="52"/>
              <w:ind w:left="72"/>
              <w:rPr>
                <w:b/>
                <w:sz w:val="21"/>
              </w:rPr>
            </w:pPr>
            <w:r>
              <w:rPr>
                <w:b/>
                <w:sz w:val="21"/>
              </w:rPr>
              <w:t>需等待下次专家上报时间，每年 1 月进行专家库的统一更新。</w:t>
            </w:r>
          </w:p>
        </w:tc>
      </w:tr>
    </w:tbl>
    <w:p w14:paraId="7C8AB1B3"/>
    <w:sectPr>
      <w:pgSz w:w="11910" w:h="16840"/>
      <w:pgMar w:top="142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64"/>
    <w:rsid w:val="002A2426"/>
    <w:rsid w:val="003F3965"/>
    <w:rsid w:val="004A6D1D"/>
    <w:rsid w:val="0058158B"/>
    <w:rsid w:val="006C12C9"/>
    <w:rsid w:val="007A2060"/>
    <w:rsid w:val="008314F4"/>
    <w:rsid w:val="00B3618C"/>
    <w:rsid w:val="00BC6FB6"/>
    <w:rsid w:val="00BF6003"/>
    <w:rsid w:val="00C61923"/>
    <w:rsid w:val="00CB0416"/>
    <w:rsid w:val="00D13464"/>
    <w:rsid w:val="00D300AF"/>
    <w:rsid w:val="00DE243C"/>
    <w:rsid w:val="00E351C3"/>
    <w:rsid w:val="00F94D46"/>
    <w:rsid w:val="1F06788D"/>
    <w:rsid w:val="6DD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华文仿宋" w:hAnsi="华文仿宋" w:eastAsia="华文仿宋" w:cs="华文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b/>
      <w:bCs/>
      <w:sz w:val="21"/>
      <w:szCs w:val="21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ind w:left="117"/>
    </w:pPr>
  </w:style>
  <w:style w:type="character" w:customStyle="1" w:styleId="11">
    <w:name w:val="批注框文本 字符"/>
    <w:basedOn w:val="7"/>
    <w:link w:val="3"/>
    <w:qFormat/>
    <w:uiPriority w:val="0"/>
    <w:rPr>
      <w:rFonts w:ascii="华文仿宋" w:hAnsi="华文仿宋" w:eastAsia="华文仿宋" w:cs="华文仿宋"/>
      <w:sz w:val="18"/>
      <w:szCs w:val="18"/>
      <w:lang w:val="zh-CN" w:bidi="zh-CN"/>
    </w:rPr>
  </w:style>
  <w:style w:type="character" w:customStyle="1" w:styleId="12">
    <w:name w:val="页眉 字符"/>
    <w:basedOn w:val="7"/>
    <w:link w:val="5"/>
    <w:qFormat/>
    <w:uiPriority w:val="0"/>
    <w:rPr>
      <w:rFonts w:ascii="华文仿宋" w:hAnsi="华文仿宋" w:eastAsia="华文仿宋" w:cs="华文仿宋"/>
      <w:sz w:val="18"/>
      <w:szCs w:val="18"/>
      <w:lang w:val="zh-CN" w:bidi="zh-CN"/>
    </w:rPr>
  </w:style>
  <w:style w:type="character" w:customStyle="1" w:styleId="13">
    <w:name w:val="页脚 字符"/>
    <w:basedOn w:val="7"/>
    <w:link w:val="4"/>
    <w:qFormat/>
    <w:uiPriority w:val="0"/>
    <w:rPr>
      <w:rFonts w:ascii="华文仿宋" w:hAnsi="华文仿宋" w:eastAsia="华文仿宋" w:cs="华文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2213</Words>
  <Characters>2248</Characters>
  <Lines>17</Lines>
  <Paragraphs>4</Paragraphs>
  <TotalTime>26</TotalTime>
  <ScaleCrop>false</ScaleCrop>
  <LinksUpToDate>false</LinksUpToDate>
  <CharactersWithSpaces>2294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2021-03-26T09:06:00Z</dcterms:created>
  <dc:creator>郭小粥</dc:creator>
  <cp:lastModifiedBy>GRS</cp:lastModifiedBy>
  <dcterms:modified xsi:type="dcterms:W3CDTF">2025-10-09T05:44:13Z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2020-11-23T00:00:00Z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9B45664616BA458684CB571DE0E71289_13</vt:lpwstr>
  </property>
</Properties>
</file>